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F" w:rsidRPr="0031761E" w:rsidRDefault="00BF135F" w:rsidP="00BF135F">
      <w:pPr>
        <w:shd w:val="clear" w:color="auto" w:fill="FFFFFF"/>
        <w:spacing w:after="360" w:line="240" w:lineRule="auto"/>
        <w:textAlignment w:val="baseline"/>
      </w:pPr>
      <w:r w:rsidRPr="0031761E">
        <w:t xml:space="preserve">Η </w:t>
      </w:r>
      <w:r w:rsidRPr="003719B8">
        <w:rPr>
          <w:lang w:val="en-US"/>
        </w:rPr>
        <w:t>UNI</w:t>
      </w:r>
      <w:r w:rsidRPr="0031761E">
        <w:t>-</w:t>
      </w:r>
      <w:r w:rsidRPr="003719B8">
        <w:rPr>
          <w:lang w:val="en-US"/>
        </w:rPr>
        <w:t>PHARMA</w:t>
      </w:r>
      <w:r w:rsidRPr="0031761E">
        <w:t xml:space="preserve"> εδρεύει στην Κάτω Κηφισιά, όπου βρίσκονται και τα εργοστάσια παραγωγής, στα οποία παράγονται και συσκευάζονται:</w:t>
      </w:r>
    </w:p>
    <w:p w:rsidR="00BF135F" w:rsidRPr="0031761E" w:rsidRDefault="00BF135F" w:rsidP="00BF13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</w:pPr>
      <w:r w:rsidRPr="0031761E">
        <w:t xml:space="preserve">Στερεά: διαφόρων μορφών δισκία (απλά, επικαλυμμένα, ελεγχόμενης αποδέσμευσης), κάψουλες, κοκκία σε </w:t>
      </w:r>
      <w:proofErr w:type="spellStart"/>
      <w:r w:rsidRPr="0031761E">
        <w:t>φακελίσκους</w:t>
      </w:r>
      <w:proofErr w:type="spellEnd"/>
      <w:r w:rsidRPr="0031761E">
        <w:t xml:space="preserve"> καθώς και προϊόντα που απαιτούν χώρους χαμηλής υγρασίας (</w:t>
      </w:r>
      <w:proofErr w:type="spellStart"/>
      <w:r w:rsidRPr="0031761E">
        <w:t>αναβράζοντα</w:t>
      </w:r>
      <w:proofErr w:type="spellEnd"/>
      <w:r w:rsidRPr="0031761E">
        <w:t xml:space="preserve"> δισκία και κοκκία καθώς και διαλυτά κοκκία και </w:t>
      </w:r>
      <w:proofErr w:type="spellStart"/>
      <w:r w:rsidRPr="0031761E">
        <w:t>κόνεις</w:t>
      </w:r>
      <w:proofErr w:type="spellEnd"/>
      <w:r w:rsidRPr="0031761E">
        <w:t xml:space="preserve"> σε </w:t>
      </w:r>
      <w:proofErr w:type="spellStart"/>
      <w:r w:rsidRPr="0031761E">
        <w:t>φακελίσκους</w:t>
      </w:r>
      <w:proofErr w:type="spellEnd"/>
      <w:r w:rsidRPr="0031761E">
        <w:t xml:space="preserve"> και φιαλίδια).</w:t>
      </w:r>
    </w:p>
    <w:p w:rsidR="00BF135F" w:rsidRPr="0031761E" w:rsidRDefault="00BF135F" w:rsidP="00BF13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</w:pPr>
      <w:proofErr w:type="spellStart"/>
      <w:r w:rsidRPr="0031761E">
        <w:t>Ημι</w:t>
      </w:r>
      <w:proofErr w:type="spellEnd"/>
      <w:r w:rsidRPr="0031761E">
        <w:t xml:space="preserve">-στερεά: κρέμες, αλοιφές, </w:t>
      </w:r>
      <w:r w:rsidRPr="003719B8">
        <w:rPr>
          <w:lang w:val="en-US"/>
        </w:rPr>
        <w:t>gel</w:t>
      </w:r>
      <w:r w:rsidRPr="0031761E">
        <w:t xml:space="preserve"> και υπόθετα.</w:t>
      </w:r>
    </w:p>
    <w:p w:rsidR="00BF135F" w:rsidRPr="0031761E" w:rsidRDefault="00BF135F" w:rsidP="00BF13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</w:pPr>
      <w:r w:rsidRPr="0031761E">
        <w:t xml:space="preserve">Υγρά: πόσιμα διαλύματα (σιρόπια, ελιξίρια και εναιωρήματα σε φιαλίδια, διαλύματα σε σταγόνες και σε </w:t>
      </w:r>
      <w:proofErr w:type="spellStart"/>
      <w:r w:rsidRPr="0031761E">
        <w:t>μονοδοσιμετρικά</w:t>
      </w:r>
      <w:proofErr w:type="spellEnd"/>
      <w:r w:rsidRPr="0031761E">
        <w:t xml:space="preserve"> φιαλίδια) και υγρά για εξωτερική χρήση.</w:t>
      </w:r>
    </w:p>
    <w:p w:rsidR="00BF135F" w:rsidRPr="0031761E" w:rsidRDefault="00BF135F" w:rsidP="00BF13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</w:pPr>
      <w:r w:rsidRPr="0031761E">
        <w:t>Ενέσιμα: ενέσιμα προϊόντα, είτε με στείρα διήθηση είτε με τελική αποστείρωση.</w:t>
      </w:r>
    </w:p>
    <w:p w:rsidR="00327403" w:rsidRDefault="00327403" w:rsidP="00BF135F">
      <w:pPr>
        <w:shd w:val="clear" w:color="auto" w:fill="FFFFFF"/>
        <w:spacing w:after="360" w:line="240" w:lineRule="auto"/>
        <w:textAlignment w:val="baseline"/>
      </w:pPr>
    </w:p>
    <w:p w:rsidR="00BF135F" w:rsidRPr="0031761E" w:rsidRDefault="00BF135F" w:rsidP="00BF135F">
      <w:pPr>
        <w:shd w:val="clear" w:color="auto" w:fill="FFFFFF"/>
        <w:spacing w:after="360" w:line="240" w:lineRule="auto"/>
        <w:textAlignment w:val="baseline"/>
      </w:pPr>
      <w:r w:rsidRPr="003719B8">
        <w:t>Τα εργοστάσια παραγωγής έχου</w:t>
      </w:r>
      <w:r w:rsidR="0031761E">
        <w:t>ν σήμερα συνολική επιφάνεια 14.5</w:t>
      </w:r>
      <w:r w:rsidRPr="003719B8">
        <w:t xml:space="preserve">00 </w:t>
      </w:r>
      <w:r w:rsidRPr="003719B8">
        <w:rPr>
          <w:lang w:val="en-US"/>
        </w:rPr>
        <w:t>m</w:t>
      </w:r>
      <w:r w:rsidRPr="003719B8">
        <w:t>2 εκ των οποί</w:t>
      </w:r>
      <w:r w:rsidR="0031761E">
        <w:t>ων τα 12.5</w:t>
      </w:r>
      <w:r w:rsidRPr="003719B8">
        <w:t xml:space="preserve">00 </w:t>
      </w:r>
      <w:r w:rsidRPr="003719B8">
        <w:rPr>
          <w:lang w:val="en-US"/>
        </w:rPr>
        <w:t>m</w:t>
      </w:r>
      <w:r w:rsidRPr="003719B8">
        <w:t xml:space="preserve">2 είναι χώροι παραγωγής και συσκευασίας. </w:t>
      </w:r>
      <w:r w:rsidRPr="0031761E">
        <w:t xml:space="preserve">Ένας ανεξάρτητος αποθηκευτικός χώρος 11.000 </w:t>
      </w:r>
      <w:r w:rsidRPr="003719B8">
        <w:rPr>
          <w:lang w:val="en-US"/>
        </w:rPr>
        <w:t>m</w:t>
      </w:r>
      <w:r w:rsidRPr="0031761E">
        <w:t>2 φιλοξενεί τα τελικά προϊόντα της εταιρείας, από όπου διατίθενται στην αγορά.</w:t>
      </w:r>
    </w:p>
    <w:p w:rsidR="00BF135F" w:rsidRPr="003719B8" w:rsidRDefault="00BF135F" w:rsidP="00BF135F">
      <w:pPr>
        <w:shd w:val="clear" w:color="auto" w:fill="FFFFFF"/>
        <w:spacing w:after="360" w:line="240" w:lineRule="auto"/>
        <w:textAlignment w:val="baseline"/>
      </w:pPr>
      <w:r w:rsidRPr="0031761E">
        <w:t xml:space="preserve">Οι σημερινές εγκαταστάσεις παραγωγής της </w:t>
      </w:r>
      <w:r w:rsidRPr="003719B8">
        <w:rPr>
          <w:lang w:val="en-US"/>
        </w:rPr>
        <w:t>UNI</w:t>
      </w:r>
      <w:r w:rsidRPr="0031761E">
        <w:t>-</w:t>
      </w:r>
      <w:r w:rsidRPr="003719B8">
        <w:rPr>
          <w:lang w:val="en-US"/>
        </w:rPr>
        <w:t>PHARMA</w:t>
      </w:r>
      <w:r w:rsidRPr="0031761E">
        <w:t xml:space="preserve"> προέκυψαν από επέκταση των παλαιότερων, μέσα από τη μεγαλύτερη επένδυση των τελευταίων χρόνων στη φαρμακοβιομηχανία στην Ελλάδα. </w:t>
      </w:r>
      <w:r w:rsidRPr="003719B8">
        <w:t>Οι νέες εγκαταστάσεις που ολοκληρώθηκαν το 2012 και ξεκίνησαν να λειτουργούν το 2015</w:t>
      </w:r>
      <w:r>
        <w:t>,</w:t>
      </w:r>
      <w:r w:rsidRPr="003719B8">
        <w:t xml:space="preserve"> αποτελούν πρότυπο βιοκλιματικής εφαρμογής, προσανατολισμένο στη πλήρη εκμετάλλευση των κλιματικών συνθηκών για τη λειτουργία του με παράλληλη μείωση κάθε </w:t>
      </w:r>
      <w:proofErr w:type="spellStart"/>
      <w:r w:rsidRPr="003719B8">
        <w:t>ενεργοβόρας</w:t>
      </w:r>
      <w:proofErr w:type="spellEnd"/>
      <w:r w:rsidRPr="003719B8">
        <w:t xml:space="preserve"> διαδικασίας, σε πλήρη εναρμόνιση με το φυσικό περιβάλλον.</w:t>
      </w:r>
    </w:p>
    <w:p w:rsidR="00BF135F" w:rsidRPr="003719B8" w:rsidRDefault="00BF135F" w:rsidP="00BF135F">
      <w:pPr>
        <w:shd w:val="clear" w:color="auto" w:fill="F6F6F6"/>
        <w:spacing w:line="390" w:lineRule="atLeast"/>
        <w:textAlignment w:val="baseline"/>
      </w:pPr>
      <w:r w:rsidRPr="003719B8">
        <w:t>Είναι εξοπλισμένες με τα πιο πρόσφατης τεχνολογίας συστήματα παραγωγής, συσκευασίας και ποιοτικού ελέγχου, ενώ όλες οι διαδικασίες που λαμβάνουν χώρα παρακολουθούνται και ελέγχονται από νέα, καινοτόμα σύγχρονα ηλεκτρονικά συστήματα (</w:t>
      </w:r>
      <w:r w:rsidRPr="003719B8">
        <w:rPr>
          <w:lang w:val="en-US"/>
        </w:rPr>
        <w:t>BMS</w:t>
      </w:r>
      <w:r w:rsidRPr="003719B8">
        <w:t>)</w:t>
      </w:r>
      <w:r w:rsidR="00C977CB">
        <w:t xml:space="preserve">, αξιοποιώντας την αιχμή της </w:t>
      </w:r>
      <w:proofErr w:type="spellStart"/>
      <w:r w:rsidR="00C977CB">
        <w:t>τενχολογίας</w:t>
      </w:r>
      <w:proofErr w:type="spellEnd"/>
      <w:r w:rsidRPr="003719B8">
        <w:t>.</w:t>
      </w:r>
    </w:p>
    <w:p w:rsidR="00BF135F" w:rsidRPr="0031761E" w:rsidRDefault="00BF135F" w:rsidP="00BF135F">
      <w:pPr>
        <w:shd w:val="clear" w:color="auto" w:fill="FFFFFF"/>
        <w:spacing w:after="0" w:line="240" w:lineRule="auto"/>
        <w:textAlignment w:val="baseline"/>
      </w:pPr>
      <w:r w:rsidRPr="0031761E">
        <w:t xml:space="preserve">Η παραγωγική ικανότητα των νέων εγκαταστάσεων ανέρχεται σε 2 δισεκατομμύρια δισκία και 50 εκατομμύρια μονάδες </w:t>
      </w:r>
      <w:proofErr w:type="spellStart"/>
      <w:r w:rsidRPr="0031761E">
        <w:t>ενεσίμων</w:t>
      </w:r>
      <w:proofErr w:type="spellEnd"/>
      <w:r w:rsidRPr="0031761E">
        <w:t xml:space="preserve"> ετησίως.</w:t>
      </w:r>
    </w:p>
    <w:p w:rsidR="00BF135F" w:rsidRDefault="00BF135F" w:rsidP="00FC697F"/>
    <w:p w:rsidR="00FC697F" w:rsidRPr="00FC697F" w:rsidRDefault="00FC697F" w:rsidP="00FC697F">
      <w:r>
        <w:t xml:space="preserve">Η </w:t>
      </w:r>
      <w:r>
        <w:rPr>
          <w:lang w:val="en-US"/>
        </w:rPr>
        <w:t>UNI</w:t>
      </w:r>
      <w:r w:rsidRPr="00FC697F">
        <w:t>-</w:t>
      </w:r>
      <w:r>
        <w:rPr>
          <w:lang w:val="en-US"/>
        </w:rPr>
        <w:t>PHARMA</w:t>
      </w:r>
      <w:r w:rsidRPr="00FC697F">
        <w:t xml:space="preserve"> </w:t>
      </w:r>
      <w:proofErr w:type="spellStart"/>
      <w:r>
        <w:t>Κλέων</w:t>
      </w:r>
      <w:proofErr w:type="spellEnd"/>
      <w:r>
        <w:t xml:space="preserve"> </w:t>
      </w:r>
      <w:proofErr w:type="spellStart"/>
      <w:r>
        <w:t>Τσέτης</w:t>
      </w:r>
      <w:proofErr w:type="spellEnd"/>
      <w:r>
        <w:t xml:space="preserve"> Φαρμακευτικά Εργαστήρι</w:t>
      </w:r>
      <w:r w:rsidR="00BF135F">
        <w:t xml:space="preserve">α Α.Β.Ε.Ε. ιδρύθηκε πριν από 56 </w:t>
      </w:r>
      <w:r>
        <w:t xml:space="preserve">χρόνια από τον </w:t>
      </w:r>
      <w:proofErr w:type="spellStart"/>
      <w:r>
        <w:t>κο</w:t>
      </w:r>
      <w:proofErr w:type="spellEnd"/>
      <w:r>
        <w:t xml:space="preserve">. </w:t>
      </w:r>
      <w:proofErr w:type="spellStart"/>
      <w:r>
        <w:t>Κλέωνα</w:t>
      </w:r>
      <w:proofErr w:type="spellEnd"/>
      <w:r>
        <w:t xml:space="preserve"> </w:t>
      </w:r>
      <w:proofErr w:type="spellStart"/>
      <w:r>
        <w:t>Τσέτη</w:t>
      </w:r>
      <w:proofErr w:type="spellEnd"/>
      <w:r>
        <w:t xml:space="preserve">, </w:t>
      </w:r>
      <w:r w:rsidRPr="00FC697F">
        <w:t>φαρμακοποιό με όραμα την ενδυνάμωση της παρουσίας των Ελληνικών Εταιρειών στη Φαρμακευτική Βιομηχανία.</w:t>
      </w:r>
      <w:r>
        <w:t xml:space="preserve"> Σήμερα, οι κόρες του, Ιουλία και Ειρήνη </w:t>
      </w:r>
      <w:proofErr w:type="spellStart"/>
      <w:r>
        <w:t>Τσέτη</w:t>
      </w:r>
      <w:proofErr w:type="spellEnd"/>
      <w:r>
        <w:t>, δεύτερης γενιάς βιομηχάνων, συνεχίζουν το έργο του και το όραμά του σε ένα πολύ ανταγωνιστικό και δύσκολο περιβάλλον.</w:t>
      </w:r>
    </w:p>
    <w:p w:rsidR="00930345" w:rsidRDefault="00BA7C12" w:rsidP="00BA7C12">
      <w:r>
        <w:t xml:space="preserve">Το νέο σύγχρονο Βιοκλιματικό Κτίριο της UNI-PHARMA Α.Β.Ε.Ε., </w:t>
      </w:r>
      <w:r w:rsidR="00FC697F">
        <w:t>συνολικής επιφάνειας 1</w:t>
      </w:r>
      <w:r w:rsidR="00C53C37" w:rsidRPr="00C53C37">
        <w:t>4</w:t>
      </w:r>
      <w:r w:rsidR="00FC697F">
        <w:t>500 τ.</w:t>
      </w:r>
      <w:r w:rsidR="008E7181">
        <w:t>μ.</w:t>
      </w:r>
      <w:r w:rsidR="00FC697F">
        <w:t xml:space="preserve"> </w:t>
      </w:r>
      <w:r>
        <w:t xml:space="preserve">αποτελεί </w:t>
      </w:r>
      <w:r w:rsidR="008E7181">
        <w:t xml:space="preserve">1 διαμάντι της Ελληνικής Βιομηχανίας και πρόκειται για </w:t>
      </w:r>
      <w:r>
        <w:t>τη μεγαλύτερη περιβαλλοντική επένδυση στ</w:t>
      </w:r>
      <w:r w:rsidR="008E7181">
        <w:t>ον φαρμακευτικό χώρο στην Ευρώπη</w:t>
      </w:r>
      <w:r>
        <w:t xml:space="preserve"> τα τελευταία 2</w:t>
      </w:r>
      <w:r w:rsidR="008E7181">
        <w:t>0</w:t>
      </w:r>
      <w:r>
        <w:t xml:space="preserve"> έτ</w:t>
      </w:r>
      <w:r w:rsidR="008E7181">
        <w:t>η.</w:t>
      </w:r>
    </w:p>
    <w:p w:rsidR="00BA7C12" w:rsidRDefault="00BA7C12" w:rsidP="00BA7C12">
      <w:r>
        <w:t xml:space="preserve">Το νέο σύγχρονο Βιοκλιματικό Κτίριο αποτελεί Πρότυπο Κτιρίου στο είδος του, με συστήματα σύγχρονης τεχνολογίας, </w:t>
      </w:r>
      <w:r w:rsidR="00FC697F">
        <w:t>καθώς διαθέτει</w:t>
      </w:r>
      <w:r>
        <w:t>:</w:t>
      </w:r>
    </w:p>
    <w:p w:rsidR="00BA7C12" w:rsidRDefault="00BA7C12" w:rsidP="00BA7C12">
      <w:r>
        <w:lastRenderedPageBreak/>
        <w:t>Α) Ενισχυμένη θερμομόνωση του κτιριακού κελύφους στα κατακόρυφα δομικά στοιχεία από σκυρόδεμα και στην οροφή του κτιρίου.</w:t>
      </w:r>
    </w:p>
    <w:p w:rsidR="00BA7C12" w:rsidRDefault="00BA7C12" w:rsidP="00BA7C12">
      <w:r>
        <w:t>Β) Εξωτερική σκίαση των υαλοστασίων με μεταλλικές περσίδες με νότιο και ανατολικό προσανατολισμό.</w:t>
      </w:r>
    </w:p>
    <w:p w:rsidR="00BA7C12" w:rsidRPr="00BA7C12" w:rsidRDefault="00BA7C12" w:rsidP="00BA7C12">
      <w:r>
        <w:t xml:space="preserve">Γ) Άριστη ποιότητα εσωτερικού αέρα και δημιουργία βέλτιστων συνθηκών θερμικής άνεσης, με ανάκτηση και </w:t>
      </w:r>
      <w:proofErr w:type="spellStart"/>
      <w:r>
        <w:t>ανακυκλοφορία</w:t>
      </w:r>
      <w:proofErr w:type="spellEnd"/>
      <w:r>
        <w:t xml:space="preserve"> του αέρα στο εσωτερικό του κτιρίου.</w:t>
      </w:r>
    </w:p>
    <w:p w:rsidR="00E024C9" w:rsidRDefault="00BA7C12" w:rsidP="00BA7C12">
      <w:r>
        <w:t xml:space="preserve">Κεντρική ιδέα στη σύνθεση της μελέτης κατασκευής αποτέλεσε η διαμόρφωση </w:t>
      </w:r>
      <w:r w:rsidR="00E024C9">
        <w:t>του ισχυρού ευκρινούς σχήματος της σύνθεσης που ορίζει τη γεωμετρία του κτιρίου και σηματοδοτεί την παρουσία του μέσα στο κάπως αόριστο πεδίο της βιομηχανικής περιοχής.</w:t>
      </w:r>
    </w:p>
    <w:p w:rsidR="008F0B0D" w:rsidRDefault="00E024C9" w:rsidP="00BA7C12">
      <w:r>
        <w:t>Αναπόσπαστο στοιχείο του σχεδιασμού, η περιβαλλο</w:t>
      </w:r>
      <w:bookmarkStart w:id="0" w:name="_GoBack"/>
      <w:bookmarkEnd w:id="0"/>
      <w:r>
        <w:t xml:space="preserve">ντική και βιοκλιματική παράμετρος, καθόρισε τόσο τη σχέση του κτιρίου με τον περιβάλλοντα χώρο, όσο και τις ποικίλες </w:t>
      </w:r>
      <w:r w:rsidR="002233BE">
        <w:t>σχέσεις</w:t>
      </w:r>
      <w:r>
        <w:t xml:space="preserve"> κλειστού</w:t>
      </w:r>
      <w:r w:rsidR="00BA7C12">
        <w:t xml:space="preserve"> </w:t>
      </w:r>
      <w:r w:rsidR="002233BE">
        <w:t xml:space="preserve">και ανοιχτού χώρου. Αυτές, εκφράζονται με τον τονισμό των καθαρών, δυνατών επιφανειών – τοιχίων, σε σχέση με τα μεγάλα ανοίγματα που προβάλλουν το φέροντα οργανισμό από </w:t>
      </w:r>
      <w:proofErr w:type="spellStart"/>
      <w:r w:rsidR="002233BE">
        <w:t>ανεπίχρηστο</w:t>
      </w:r>
      <w:proofErr w:type="spellEnd"/>
      <w:r w:rsidR="002233BE">
        <w:t xml:space="preserve"> σκυρόδεμα και διαμορφώνουν υπαίθριους και </w:t>
      </w:r>
      <w:proofErr w:type="spellStart"/>
      <w:r w:rsidR="002233BE">
        <w:t>ημιυπαίθριους</w:t>
      </w:r>
      <w:proofErr w:type="spellEnd"/>
      <w:r w:rsidR="002233BE">
        <w:t xml:space="preserve"> χώρου</w:t>
      </w:r>
      <w:r w:rsidR="00171089">
        <w:t>ς</w:t>
      </w:r>
      <w:r w:rsidR="002233BE">
        <w:t xml:space="preserve">, με κυρίαρχο αυτόν του </w:t>
      </w:r>
      <w:proofErr w:type="spellStart"/>
      <w:r w:rsidR="002233BE">
        <w:t>αιθρίου</w:t>
      </w:r>
      <w:proofErr w:type="spellEnd"/>
      <w:r w:rsidR="002233BE">
        <w:t xml:space="preserve"> στο δώμα. Μέσα από τις χωρικές διαβαθμίσεις, το </w:t>
      </w:r>
      <w:r w:rsidR="00DC7A36">
        <w:t>κτίριο</w:t>
      </w:r>
      <w:r w:rsidR="002233BE">
        <w:t xml:space="preserve"> «αναπνέει» φυσικά, προσφέροντας παράλληλα </w:t>
      </w:r>
      <w:r w:rsidR="008F0B0D">
        <w:t>και το ίδιο, μια «ανάσα» στην υφιστάμενη βιομηχανική ζώνη.</w:t>
      </w:r>
    </w:p>
    <w:p w:rsidR="00BA7C12" w:rsidRDefault="008F0B0D" w:rsidP="00BA7C12">
      <w:r>
        <w:t xml:space="preserve">Παράλληλα, οι εκτεταμένες επιφάνειες με περσίδες </w:t>
      </w:r>
      <w:proofErr w:type="spellStart"/>
      <w:r>
        <w:t>ηλιοπροστασίας</w:t>
      </w:r>
      <w:proofErr w:type="spellEnd"/>
      <w:r>
        <w:t xml:space="preserve"> και ειδικών ενεργειακών </w:t>
      </w:r>
      <w:proofErr w:type="spellStart"/>
      <w:r>
        <w:t>υαλοπετασμάτων</w:t>
      </w:r>
      <w:proofErr w:type="spellEnd"/>
      <w:r>
        <w:t>, καθορίζουν τη βιοκλιματική συμπεριφορά του κτιρίου και διαμορφώνουν σχέσεις αδιαφάνειας, διαφάνειας και θέας.</w:t>
      </w:r>
    </w:p>
    <w:p w:rsidR="00FC697F" w:rsidRDefault="00FC697F" w:rsidP="00FC697F">
      <w:r>
        <w:t>Η εφαρμογή γεωθερμίας και άλλων στοιχείων αειφόρου ανάπτυξης συμβάλλει στην οικολογική «συμπεριφορά» του κτιρίου, ενώ η εφαρμογή της πιο σύγχρονης τεχνολογίας στη γραμμή παραγωγής και τον εσωτερικό εξοπλισμό, καθιστούν τη βιομηχανική αυτή εγκατάσταση πρότυπη, τόσο για την εντόπια παραγωγή όσο και για τη διεθνή πραγματικότητα.</w:t>
      </w:r>
    </w:p>
    <w:p w:rsidR="00BA7C12" w:rsidRDefault="009D71BC" w:rsidP="00BA7C12">
      <w:r>
        <w:t>Ειδικότερα, π</w:t>
      </w:r>
      <w:r w:rsidR="00BA7C12">
        <w:t xml:space="preserve">ρόκειται για ένα «Πράσινο Κτίριο» με πολύ χαμηλή ενεργειακή κατανάλωση, το οποίο </w:t>
      </w:r>
      <w:r w:rsidR="00FC697F">
        <w:t>περιέχει</w:t>
      </w:r>
      <w:r w:rsidR="00BA7C12">
        <w:t>:</w:t>
      </w:r>
    </w:p>
    <w:p w:rsidR="0066145B" w:rsidRDefault="00BA7C12" w:rsidP="00BA7C12">
      <w:r>
        <w:t xml:space="preserve">Α) </w:t>
      </w:r>
      <w:proofErr w:type="spellStart"/>
      <w:r>
        <w:t>Εναλλάκτες</w:t>
      </w:r>
      <w:proofErr w:type="spellEnd"/>
      <w:r>
        <w:t xml:space="preserve"> εδάφους – αέρα για την προθέρμανση του αέρα τον χειμώνα και την προ-ψύξη του αέρα το καλοκαίρι, με στόχο την</w:t>
      </w:r>
      <w:r w:rsidR="00E024C9">
        <w:t xml:space="preserve"> </w:t>
      </w:r>
      <w:r>
        <w:t>ελαχιστοποίηση ενεργειακής κατανάλωσης του κτιρίου κατά τη χειμερινή και τη θερινή περίοδο</w:t>
      </w:r>
      <w:r w:rsidR="0066145B">
        <w:t>.</w:t>
      </w:r>
    </w:p>
    <w:p w:rsidR="00BA7C12" w:rsidRDefault="00BA7C12" w:rsidP="00BA7C12">
      <w:r>
        <w:t>Β</w:t>
      </w:r>
      <w:r w:rsidR="00FC697F">
        <w:t>) Υπερσύγχρονο Μηχανολογικό Εξοπλισμό</w:t>
      </w:r>
      <w:r>
        <w:t xml:space="preserve"> Παραγωγής, Συσκευασίας και Ποιοτικού Ελέγχου με βέλτιστη απόδοση.</w:t>
      </w:r>
    </w:p>
    <w:p w:rsidR="00BA7C12" w:rsidRDefault="00BA7C12" w:rsidP="00BA7C12">
      <w:r>
        <w:t>Γ) Παρακολούθηση και Έλεγχο Διαδικασιών Παραγωγής με νέα καινοτόμα ηλεκτρονικά συστήματα (ΒΜS) υψηλής τεχνολογίας.</w:t>
      </w:r>
    </w:p>
    <w:p w:rsidR="00BA7C12" w:rsidRDefault="00795026" w:rsidP="00BA7C12">
      <w:r>
        <w:t>Δ</w:t>
      </w:r>
      <w:r w:rsidR="00BA7C12">
        <w:t>) Βέλτιστη χρήση φυσικού φωτισμού και εξοικονόμηση ενέργειας σε τεχνητό φωτισμό</w:t>
      </w:r>
      <w:r w:rsidR="00442E76">
        <w:t>.</w:t>
      </w:r>
    </w:p>
    <w:p w:rsidR="00BA7C12" w:rsidRDefault="00BA7C12" w:rsidP="00BA7C12">
      <w:r>
        <w:t xml:space="preserve">Οι νέες εγκαταστάσεις της UNI-PHARMA </w:t>
      </w:r>
      <w:proofErr w:type="spellStart"/>
      <w:r>
        <w:t>Κλέων</w:t>
      </w:r>
      <w:proofErr w:type="spellEnd"/>
      <w:r>
        <w:t xml:space="preserve"> </w:t>
      </w:r>
      <w:proofErr w:type="spellStart"/>
      <w:r>
        <w:t>Τσέτης</w:t>
      </w:r>
      <w:proofErr w:type="spellEnd"/>
      <w:r>
        <w:t xml:space="preserve"> Φαρμακευτικά Εργαστήρια Α.Β.Ε.Ε.</w:t>
      </w:r>
      <w:r w:rsidR="0066145B">
        <w:t>,</w:t>
      </w:r>
      <w:r>
        <w:t xml:space="preserve"> προσανατολισμένες στην πλήρη εκμετάλλευση των κλιματικών συνθηκών για τη</w:t>
      </w:r>
      <w:r w:rsidR="00F24D80">
        <w:t>ν</w:t>
      </w:r>
      <w:r>
        <w:t xml:space="preserve"> </w:t>
      </w:r>
      <w:r w:rsidR="00F24D80">
        <w:t xml:space="preserve">εύρυθμη </w:t>
      </w:r>
      <w:r>
        <w:t xml:space="preserve">λειτουργία της Εταιρείας, με παράλληλη μείωση κάθε </w:t>
      </w:r>
      <w:proofErr w:type="spellStart"/>
      <w:r>
        <w:t>ενεργοβόρου</w:t>
      </w:r>
      <w:proofErr w:type="spellEnd"/>
      <w:r w:rsidRPr="00BA7C12">
        <w:t xml:space="preserve"> </w:t>
      </w:r>
      <w:r w:rsidR="00442E76">
        <w:t xml:space="preserve">διαδικασίας, βρίσκονται </w:t>
      </w:r>
      <w:r>
        <w:t>σε πλήρη εναρμόνιση με το φυσικό περιβάλλον</w:t>
      </w:r>
      <w:r w:rsidR="0066145B">
        <w:t>,</w:t>
      </w:r>
      <w:r w:rsidR="0066145B" w:rsidRPr="0066145B">
        <w:t xml:space="preserve"> </w:t>
      </w:r>
      <w:r w:rsidR="0066145B">
        <w:t>αποτελούν πρότυπο βιοκλιματικής εφαρμογής</w:t>
      </w:r>
      <w:r w:rsidR="00442E76">
        <w:t xml:space="preserve"> και επιδεικνύουν συστήματα σύγχρονης τεχνολογίας</w:t>
      </w:r>
      <w:r w:rsidR="00A5545B">
        <w:t xml:space="preserve"> </w:t>
      </w:r>
      <w:r w:rsidR="0066145B">
        <w:t>στην Ελλάδα</w:t>
      </w:r>
      <w:r w:rsidR="00AA0E63">
        <w:t>, στην Ευρώπη</w:t>
      </w:r>
      <w:r w:rsidR="0066145B">
        <w:t xml:space="preserve"> </w:t>
      </w:r>
      <w:r w:rsidR="00AA0E63">
        <w:t xml:space="preserve">και </w:t>
      </w:r>
      <w:r w:rsidR="00A5545B">
        <w:t>σε διεθνές επίπεδο</w:t>
      </w:r>
      <w:r>
        <w:t>.</w:t>
      </w:r>
    </w:p>
    <w:p w:rsidR="008066D3" w:rsidRPr="0065367C" w:rsidRDefault="008066D3" w:rsidP="008066D3">
      <w:pPr>
        <w:spacing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lastRenderedPageBreak/>
        <w:t>Η αύξηση της θερμομόνωσης μειώνει τις ανάγκες θέρμανσης του κτιρίου κατά 8,6% ετησίως.</w:t>
      </w:r>
    </w:p>
    <w:p w:rsidR="008066D3" w:rsidRPr="0065367C" w:rsidRDefault="008066D3" w:rsidP="008066D3">
      <w:pPr>
        <w:spacing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>Η ετήσια εξοικονόμηση ενέργειας που πραγματοποιείται από την εξωτερική σκίαση των υαλοστασίων με μεταλλικές περσίδες με νότιο και ανατολικό προσανατολισμό είναι 14% στην ψύξη του κτιρίου.</w:t>
      </w:r>
    </w:p>
    <w:p w:rsidR="008066D3" w:rsidRPr="0065367C" w:rsidRDefault="008066D3" w:rsidP="008066D3">
      <w:pPr>
        <w:spacing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>Η εφαρμογή νυχτερινού αερισμού στους χώρους παραγωγής- εργαστηρίων και γραφείων επιφέρει μείωση στο φορτίο ψύξης σε 19%.</w:t>
      </w:r>
    </w:p>
    <w:p w:rsidR="008066D3" w:rsidRPr="0065367C" w:rsidRDefault="008066D3" w:rsidP="008066D3">
      <w:pPr>
        <w:spacing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 xml:space="preserve">Με τη χρήση </w:t>
      </w:r>
      <w:proofErr w:type="spellStart"/>
      <w:r w:rsidRPr="0065367C">
        <w:rPr>
          <w:b/>
          <w:color w:val="00B050"/>
        </w:rPr>
        <w:t>εναλλακτών</w:t>
      </w:r>
      <w:proofErr w:type="spellEnd"/>
      <w:r w:rsidRPr="0065367C">
        <w:rPr>
          <w:b/>
          <w:color w:val="00B050"/>
        </w:rPr>
        <w:t xml:space="preserve"> εδάφους – αέρα, επιτυγχάνεται εξοικονόμηση ενέργειας ως κατωτέρω:</w:t>
      </w:r>
    </w:p>
    <w:p w:rsidR="008066D3" w:rsidRPr="0065367C" w:rsidRDefault="008066D3" w:rsidP="008066D3">
      <w:pPr>
        <w:pStyle w:val="a4"/>
        <w:numPr>
          <w:ilvl w:val="0"/>
          <w:numId w:val="1"/>
        </w:numPr>
        <w:spacing w:after="160"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>Στη θέρμανση κατά 15.3%.</w:t>
      </w:r>
    </w:p>
    <w:p w:rsidR="008066D3" w:rsidRPr="0065367C" w:rsidRDefault="008066D3" w:rsidP="008066D3">
      <w:pPr>
        <w:pStyle w:val="a4"/>
        <w:numPr>
          <w:ilvl w:val="0"/>
          <w:numId w:val="1"/>
        </w:numPr>
        <w:spacing w:after="160"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>Στην ψύξη κατά 4.2%.</w:t>
      </w:r>
    </w:p>
    <w:p w:rsidR="008066D3" w:rsidRPr="0065367C" w:rsidRDefault="008066D3" w:rsidP="008066D3">
      <w:pPr>
        <w:spacing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>Συνολικά, με την εφαρμογή όλων των παραπάνω ενεργειακών μέτρων, επιτυγχάνεται εξοικονόμηση ενέργειας σε ετήσια βάση ως κατωτέρω:</w:t>
      </w:r>
    </w:p>
    <w:p w:rsidR="008066D3" w:rsidRPr="0065367C" w:rsidRDefault="008066D3" w:rsidP="008066D3">
      <w:pPr>
        <w:pStyle w:val="a4"/>
        <w:numPr>
          <w:ilvl w:val="0"/>
          <w:numId w:val="2"/>
        </w:numPr>
        <w:spacing w:after="160" w:line="360" w:lineRule="auto"/>
        <w:jc w:val="both"/>
        <w:rPr>
          <w:b/>
          <w:color w:val="00B050"/>
        </w:rPr>
      </w:pPr>
      <w:r w:rsidRPr="0065367C">
        <w:rPr>
          <w:b/>
          <w:color w:val="00B050"/>
        </w:rPr>
        <w:t xml:space="preserve">23.5% στο φορτίο θέρμανσης. </w:t>
      </w:r>
    </w:p>
    <w:p w:rsidR="008066D3" w:rsidRPr="00BA7C12" w:rsidRDefault="008066D3" w:rsidP="0015367F">
      <w:pPr>
        <w:pStyle w:val="a4"/>
        <w:numPr>
          <w:ilvl w:val="0"/>
          <w:numId w:val="2"/>
        </w:numPr>
        <w:spacing w:after="160" w:line="360" w:lineRule="auto"/>
        <w:jc w:val="both"/>
      </w:pPr>
      <w:r w:rsidRPr="002C21EF">
        <w:rPr>
          <w:b/>
          <w:color w:val="00B050"/>
        </w:rPr>
        <w:t>50,6% στο φορτίο ψύξης.</w:t>
      </w:r>
    </w:p>
    <w:sectPr w:rsidR="008066D3" w:rsidRPr="00BA7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1737"/>
    <w:multiLevelType w:val="hybridMultilevel"/>
    <w:tmpl w:val="95B00D9E"/>
    <w:lvl w:ilvl="0" w:tplc="1F7C2FC0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538135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DD0"/>
    <w:multiLevelType w:val="multilevel"/>
    <w:tmpl w:val="DAD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43534"/>
    <w:multiLevelType w:val="hybridMultilevel"/>
    <w:tmpl w:val="875666D4"/>
    <w:lvl w:ilvl="0" w:tplc="1F7C2FC0">
      <w:start w:val="1"/>
      <w:numFmt w:val="bullet"/>
      <w:lvlText w:val=""/>
      <w:lvlJc w:val="left"/>
      <w:pPr>
        <w:ind w:left="1080" w:hanging="360"/>
      </w:pPr>
      <w:rPr>
        <w:rFonts w:ascii="Webdings" w:hAnsi="Webdings" w:hint="default"/>
        <w:color w:val="538135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2"/>
    <w:rsid w:val="000F7B6F"/>
    <w:rsid w:val="001074D2"/>
    <w:rsid w:val="00171089"/>
    <w:rsid w:val="002233BE"/>
    <w:rsid w:val="002C21EF"/>
    <w:rsid w:val="0031761E"/>
    <w:rsid w:val="00327403"/>
    <w:rsid w:val="00442E76"/>
    <w:rsid w:val="00487DC4"/>
    <w:rsid w:val="005726D5"/>
    <w:rsid w:val="005A645F"/>
    <w:rsid w:val="0066145B"/>
    <w:rsid w:val="00696558"/>
    <w:rsid w:val="0074122D"/>
    <w:rsid w:val="00795026"/>
    <w:rsid w:val="008066D3"/>
    <w:rsid w:val="008B2E9A"/>
    <w:rsid w:val="008E7181"/>
    <w:rsid w:val="008F0B0D"/>
    <w:rsid w:val="009D71BC"/>
    <w:rsid w:val="00A5545B"/>
    <w:rsid w:val="00AA0E63"/>
    <w:rsid w:val="00AC16DD"/>
    <w:rsid w:val="00B8429B"/>
    <w:rsid w:val="00BA7C12"/>
    <w:rsid w:val="00BC3FC4"/>
    <w:rsid w:val="00BF135F"/>
    <w:rsid w:val="00C53C37"/>
    <w:rsid w:val="00C90490"/>
    <w:rsid w:val="00C977CB"/>
    <w:rsid w:val="00DC7A36"/>
    <w:rsid w:val="00E024C9"/>
    <w:rsid w:val="00E16A88"/>
    <w:rsid w:val="00E578DD"/>
    <w:rsid w:val="00F24D80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BBB"/>
  <w15:chartTrackingRefBased/>
  <w15:docId w15:val="{02629180-76B0-4576-A826-93494A9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108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06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26</cp:revision>
  <cp:lastPrinted>2017-05-29T06:15:00Z</cp:lastPrinted>
  <dcterms:created xsi:type="dcterms:W3CDTF">2017-05-29T05:18:00Z</dcterms:created>
  <dcterms:modified xsi:type="dcterms:W3CDTF">2020-12-16T16:04:00Z</dcterms:modified>
</cp:coreProperties>
</file>